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sz w:val="32"/>
          <w:szCs w:val="30"/>
        </w:rPr>
      </w:pPr>
      <w:bookmarkStart w:id="0" w:name="_GoBack"/>
      <w:bookmarkEnd w:id="0"/>
    </w:p>
    <w:p>
      <w:pPr>
        <w:spacing w:line="600" w:lineRule="exact"/>
        <w:jc w:val="left"/>
        <w:rPr>
          <w:rFonts w:hint="eastAsia"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北京市最具投资价值文化创意企业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评选方案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jc w:val="left"/>
        <w:rPr>
          <w:rFonts w:asciiTheme="minorEastAsia" w:hAnsiTheme="minorEastAsia" w:cstheme="majorEastAsia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一、活动介绍</w:t>
      </w:r>
    </w:p>
    <w:p>
      <w:pPr>
        <w:ind w:firstLine="640" w:firstLineChars="200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2021年迎来了建党百年，也是“十四五”的开局之年。文化产业作为国民经济重要的支柱产业，十九届五中全会从战略和全局上作出了规划和设计，明确提出到2035年建成文化强国，绘制了文化产业的高质量发展蓝图。</w:t>
      </w:r>
      <w:r>
        <w:rPr>
          <w:rFonts w:ascii="仿宋_GB2312" w:hAnsi="Calibri" w:eastAsia="仿宋_GB2312" w:cs="宋体"/>
          <w:sz w:val="32"/>
          <w:szCs w:val="32"/>
        </w:rPr>
        <w:t xml:space="preserve"> </w:t>
      </w:r>
    </w:p>
    <w:p>
      <w:pPr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 xml:space="preserve">   </w:t>
      </w:r>
      <w:r>
        <w:rPr>
          <w:rFonts w:ascii="仿宋_GB2312" w:hAnsi="Calibri" w:eastAsia="仿宋_GB2312" w:cs="宋体"/>
          <w:sz w:val="32"/>
          <w:szCs w:val="32"/>
        </w:rPr>
        <w:t xml:space="preserve"> </w:t>
      </w:r>
      <w:r>
        <w:rPr>
          <w:rFonts w:hint="eastAsia" w:ascii="仿宋_GB2312" w:hAnsi="Calibri" w:eastAsia="仿宋_GB2312" w:cs="宋体"/>
          <w:sz w:val="32"/>
          <w:szCs w:val="32"/>
        </w:rPr>
        <w:t>当前，文化产业逐渐成为经济发展的重要引擎，实施文化产业数字化战略，加快发展新型文化企业、文化业态、文化消费模式等，产业融合为文化产业的发展与革新提供了新思路。为了加强全国文化中心的建设，文化产业与金融产业的融合成为提升文化产业发展质量的重要途径。值此之际，北京市文化创意产业促进中心联合清科共同举办</w:t>
      </w:r>
      <w:r>
        <w:rPr>
          <w:rFonts w:hint="eastAsia" w:ascii="仿宋_GB2312" w:hAnsi="Calibri" w:eastAsia="仿宋_GB2312" w:cs="宋体"/>
          <w:b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sz w:val="32"/>
          <w:szCs w:val="32"/>
        </w:rPr>
        <w:t>北京市最具投资价值文化创意企业</w:t>
      </w:r>
      <w:r>
        <w:rPr>
          <w:rFonts w:hint="eastAsia" w:ascii="仿宋_GB2312" w:hAnsi="Calibri" w:eastAsia="仿宋_GB2312" w:cs="宋体"/>
          <w:b/>
          <w:sz w:val="32"/>
          <w:szCs w:val="32"/>
        </w:rPr>
        <w:t>”评选活动</w:t>
      </w:r>
      <w:r>
        <w:rPr>
          <w:rFonts w:hint="eastAsia" w:ascii="仿宋_GB2312" w:hAnsi="Calibri" w:eastAsia="仿宋_GB2312" w:cs="宋体"/>
          <w:sz w:val="32"/>
          <w:szCs w:val="32"/>
        </w:rPr>
        <w:t>。活动旨在切实推进文化产业项目与资本结合，立足于考察和挖掘优质文化企业，用专业和权威的眼光透视企业的成长潜力并向资本方推介，助力入选企业成功融资，促进文化企业快速健康发展。</w:t>
      </w:r>
    </w:p>
    <w:p>
      <w:pPr>
        <w:ind w:firstLine="640" w:firstLineChars="200"/>
        <w:jc w:val="left"/>
        <w:rPr>
          <w:rFonts w:cs="微软雅黑" w:asciiTheme="minorEastAsia" w:hAnsiTheme="minorEastAsia"/>
          <w:sz w:val="11"/>
          <w:szCs w:val="11"/>
        </w:rPr>
      </w:pPr>
      <w:r>
        <w:rPr>
          <w:rFonts w:hint="eastAsia" w:ascii="仿宋_GB2312" w:hAnsi="Calibri" w:eastAsia="仿宋_GB2312" w:cs="宋体"/>
          <w:sz w:val="32"/>
          <w:szCs w:val="32"/>
        </w:rPr>
        <w:t>自2012年以来，评选已连续举办九年，参选企业近3500家，截止目前共推出北京地区最具投资价值文化企业3</w:t>
      </w:r>
      <w:r>
        <w:rPr>
          <w:rFonts w:ascii="仿宋_GB2312" w:hAnsi="Calibri" w:eastAsia="仿宋_GB2312" w:cs="宋体"/>
          <w:sz w:val="32"/>
          <w:szCs w:val="32"/>
        </w:rPr>
        <w:t>7</w:t>
      </w:r>
      <w:r>
        <w:rPr>
          <w:rFonts w:hint="eastAsia" w:ascii="仿宋_GB2312" w:hAnsi="Calibri" w:eastAsia="仿宋_GB2312" w:cs="宋体"/>
          <w:sz w:val="32"/>
          <w:szCs w:val="32"/>
        </w:rPr>
        <w:t>0家。历届榜单均为北京市乃至全国对文化企业投资的风向标，为众多北京地区文化企业的发展带来了更多的资本支持。</w:t>
      </w:r>
    </w:p>
    <w:p>
      <w:pPr>
        <w:ind w:firstLine="640" w:firstLineChars="200"/>
        <w:jc w:val="left"/>
        <w:rPr>
          <w:rFonts w:asciiTheme="minorEastAsia" w:hAnsiTheme="minorEastAsia" w:cstheme="majorEastAsia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二、榜单设置</w:t>
      </w:r>
    </w:p>
    <w:p>
      <w:pPr>
        <w:ind w:firstLine="640" w:firstLineChars="200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综合文化行业和资本市场发展的新趋势、新变化，以及企业在不同发展阶段的差异化表现和需求，2</w:t>
      </w:r>
      <w:r>
        <w:rPr>
          <w:rFonts w:ascii="仿宋_GB2312" w:hAnsi="Calibri" w:eastAsia="仿宋_GB2312" w:cs="宋体"/>
          <w:sz w:val="32"/>
          <w:szCs w:val="32"/>
        </w:rPr>
        <w:t>021</w:t>
      </w:r>
      <w:r>
        <w:rPr>
          <w:rFonts w:hint="eastAsia" w:ascii="仿宋_GB2312" w:hAnsi="Calibri" w:eastAsia="仿宋_GB2312" w:cs="宋体"/>
          <w:sz w:val="32"/>
          <w:szCs w:val="32"/>
        </w:rPr>
        <w:t>年的榜单在往年的基础上，进行了升级，具体安排如下：</w:t>
      </w:r>
    </w:p>
    <w:p>
      <w:pPr>
        <w:ind w:firstLine="640" w:firstLineChars="200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“北京市最具投资价值文化创意企业”未来之星</w:t>
      </w:r>
      <w:r>
        <w:rPr>
          <w:rFonts w:ascii="仿宋_GB2312" w:hAnsi="Calibri" w:eastAsia="仿宋_GB2312" w:cs="宋体"/>
          <w:sz w:val="32"/>
          <w:szCs w:val="32"/>
        </w:rPr>
        <w:t>30</w:t>
      </w:r>
      <w:r>
        <w:rPr>
          <w:rFonts w:hint="eastAsia" w:ascii="仿宋_GB2312" w:hAnsi="Calibri" w:eastAsia="仿宋_GB2312" w:cs="宋体"/>
          <w:sz w:val="32"/>
          <w:szCs w:val="32"/>
        </w:rPr>
        <w:t>强：从适应性、成长性、创造性及独特性等方面发掘最具成长性的中小微企业；</w:t>
      </w:r>
    </w:p>
    <w:p>
      <w:pPr>
        <w:ind w:firstLine="640" w:firstLineChars="200"/>
        <w:jc w:val="left"/>
        <w:rPr>
          <w:rFonts w:cs="微软雅黑" w:asciiTheme="minorEastAsia" w:hAnsiTheme="minorEastAsia"/>
          <w:sz w:val="22"/>
        </w:rPr>
      </w:pPr>
      <w:r>
        <w:rPr>
          <w:rFonts w:hint="eastAsia" w:ascii="仿宋_GB2312" w:hAnsi="Calibri" w:eastAsia="仿宋_GB2312" w:cs="宋体"/>
          <w:sz w:val="32"/>
          <w:szCs w:val="32"/>
        </w:rPr>
        <w:t>“北京市最具投资价值文化创意企业”风云榜2</w:t>
      </w:r>
      <w:r>
        <w:rPr>
          <w:rFonts w:ascii="仿宋_GB2312" w:hAnsi="Calibri" w:eastAsia="仿宋_GB2312" w:cs="宋体"/>
          <w:sz w:val="32"/>
          <w:szCs w:val="32"/>
        </w:rPr>
        <w:t>0</w:t>
      </w:r>
      <w:r>
        <w:rPr>
          <w:rFonts w:hint="eastAsia" w:ascii="仿宋_GB2312" w:hAnsi="Calibri" w:eastAsia="仿宋_GB2312" w:cs="宋体"/>
          <w:sz w:val="32"/>
          <w:szCs w:val="32"/>
        </w:rPr>
        <w:t>强：有上市前景、且有意走向Pre-IPO的优秀企业（含新三板挂牌）。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三、参选资格</w:t>
      </w:r>
    </w:p>
    <w:p>
      <w:pPr>
        <w:ind w:firstLine="640" w:firstLineChars="200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1.属于文化产业，包含但不限于文化科技融合、数字创意、 创意设计、非遗及IP开发、 文化教育、文化旅游、文化体育、广告传媒、其他项目、文创类初创项目等；</w:t>
      </w:r>
    </w:p>
    <w:p>
      <w:pPr>
        <w:ind w:firstLine="640" w:firstLineChars="200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2.必须为未上市企业；</w:t>
      </w:r>
    </w:p>
    <w:p>
      <w:pPr>
        <w:ind w:firstLine="640" w:firstLineChars="200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3.企业运营主体</w:t>
      </w:r>
      <w:r>
        <w:rPr>
          <w:rFonts w:hint="eastAsia" w:ascii="仿宋" w:hAnsi="仿宋" w:eastAsia="仿宋" w:cs="仿宋"/>
          <w:sz w:val="32"/>
          <w:szCs w:val="32"/>
        </w:rPr>
        <w:t>注册在北京地区</w:t>
      </w:r>
      <w:r>
        <w:rPr>
          <w:rFonts w:hint="eastAsia" w:ascii="仿宋_GB2312" w:hAnsi="Calibri" w:eastAsia="仿宋_GB2312" w:cs="宋体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Theme="minorEastAsia" w:hAnsiTheme="minorEastAsia" w:cstheme="majorEastAsia"/>
          <w:sz w:val="44"/>
          <w:szCs w:val="44"/>
        </w:rPr>
      </w:pPr>
      <w:r>
        <w:rPr>
          <w:rFonts w:hint="eastAsia" w:ascii="仿宋_GB2312" w:hAnsi="Calibri" w:eastAsia="仿宋_GB2312" w:cs="宋体"/>
          <w:sz w:val="32"/>
          <w:szCs w:val="32"/>
        </w:rPr>
        <w:t>4.具有投资潜质的高成长企业。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四、评选指标</w:t>
      </w:r>
    </w:p>
    <w:p>
      <w:pPr>
        <w:ind w:firstLine="640" w:firstLineChars="200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1.企业所处细分行业的发展前景；</w:t>
      </w:r>
    </w:p>
    <w:p>
      <w:pPr>
        <w:ind w:firstLine="640" w:firstLineChars="200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2.商业模式的有效性；</w:t>
      </w:r>
    </w:p>
    <w:p>
      <w:pPr>
        <w:ind w:firstLine="640" w:firstLineChars="200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3.公司业务与核心竞争力；</w:t>
      </w:r>
    </w:p>
    <w:p>
      <w:pPr>
        <w:ind w:firstLine="640" w:firstLineChars="200"/>
        <w:jc w:val="left"/>
        <w:rPr>
          <w:rFonts w:cs="方正清刻本悦宋简体" w:asciiTheme="minorEastAsia" w:hAnsiTheme="minorEastAsia"/>
          <w:sz w:val="28"/>
          <w:szCs w:val="28"/>
        </w:rPr>
      </w:pPr>
      <w:r>
        <w:rPr>
          <w:rFonts w:hint="eastAsia" w:ascii="仿宋_GB2312" w:hAnsi="Calibri" w:eastAsia="仿宋_GB2312" w:cs="宋体"/>
          <w:sz w:val="32"/>
          <w:szCs w:val="32"/>
        </w:rPr>
        <w:t>4.创新型企业的市场开拓能力。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五、评选方式</w:t>
      </w:r>
    </w:p>
    <w:p>
      <w:pPr>
        <w:ind w:firstLine="643" w:firstLineChars="200"/>
        <w:jc w:val="left"/>
        <w:rPr>
          <w:rFonts w:ascii="仿宋_GB2312" w:hAnsi="Calibri" w:eastAsia="仿宋_GB2312" w:cs="宋体"/>
          <w:b/>
          <w:bCs/>
          <w:sz w:val="32"/>
          <w:szCs w:val="32"/>
        </w:rPr>
      </w:pPr>
      <w:r>
        <w:rPr>
          <w:rFonts w:hint="eastAsia" w:ascii="仿宋_GB2312" w:hAnsi="Calibri" w:eastAsia="仿宋_GB2312" w:cs="宋体"/>
          <w:b/>
          <w:bCs/>
          <w:sz w:val="32"/>
          <w:szCs w:val="32"/>
        </w:rPr>
        <w:t xml:space="preserve">1.信息提交：7月22日-8月3日  </w:t>
      </w:r>
    </w:p>
    <w:p>
      <w:pPr>
        <w:spacing w:line="560" w:lineRule="exact"/>
        <w:ind w:firstLine="640" w:firstLineChars="200"/>
        <w:jc w:val="left"/>
        <w:rPr>
          <w:rFonts w:ascii="Arial" w:hAnsi="Arial" w:eastAsia="仿宋" w:cs="Arial"/>
          <w:color w:val="0000FF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请企业如实完整的填写《北京市最具投资价值文化创意企业</w:t>
      </w:r>
      <w:r>
        <w:fldChar w:fldCharType="begin"/>
      </w:r>
      <w:r>
        <w:instrText xml:space="preserve"> HYPERLINK "mailto:信息征集表》，于5月10日前发送至邮箱mariajiang@zero2ipo.com.cn。"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信息征集表》（见附件），并于8月3日前征集表发送至</w:t>
      </w:r>
      <w:r>
        <w:rPr>
          <w:rFonts w:hint="eastAsia" w:ascii="仿宋_GB2312" w:hAnsi="仿宋_GB2312" w:eastAsia="仿宋_GB2312" w:cs="仿宋_GB2312"/>
          <w:sz w:val="32"/>
          <w:szCs w:val="32"/>
        </w:rPr>
        <w:t>liuyidi@bjxch.gov.cn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邮箱。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ind w:firstLine="643" w:firstLineChars="200"/>
        <w:jc w:val="left"/>
        <w:rPr>
          <w:rFonts w:ascii="仿宋_GB2312" w:hAnsi="Calibri" w:eastAsia="仿宋_GB2312" w:cs="宋体"/>
          <w:b/>
          <w:bCs/>
          <w:sz w:val="32"/>
          <w:szCs w:val="32"/>
        </w:rPr>
      </w:pPr>
      <w:r>
        <w:rPr>
          <w:rFonts w:hint="eastAsia" w:ascii="仿宋_GB2312" w:hAnsi="Calibri" w:eastAsia="仿宋_GB2312" w:cs="宋体"/>
          <w:b/>
          <w:bCs/>
          <w:sz w:val="32"/>
          <w:szCs w:val="32"/>
        </w:rPr>
        <w:t>2.审核评选：8月9日-8月</w:t>
      </w:r>
      <w:r>
        <w:rPr>
          <w:rFonts w:ascii="仿宋_GB2312" w:hAnsi="Calibri" w:eastAsia="仿宋_GB2312" w:cs="宋体"/>
          <w:b/>
          <w:bCs/>
          <w:sz w:val="32"/>
          <w:szCs w:val="32"/>
        </w:rPr>
        <w:t>20</w:t>
      </w:r>
      <w:r>
        <w:rPr>
          <w:rFonts w:hint="eastAsia" w:ascii="仿宋_GB2312" w:hAnsi="Calibri" w:eastAsia="仿宋_GB2312" w:cs="宋体"/>
          <w:b/>
          <w:bCs/>
          <w:sz w:val="32"/>
          <w:szCs w:val="32"/>
        </w:rPr>
        <w:t xml:space="preserve">日  </w:t>
      </w:r>
    </w:p>
    <w:p>
      <w:pPr>
        <w:ind w:firstLine="640" w:firstLineChars="200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邀请来自多家知名机构的投资人担任此次活动的评委，依照评选指标对企业适应性、成长性、创新性及运营能力等方面进行综合评估。</w:t>
      </w:r>
    </w:p>
    <w:p>
      <w:pPr>
        <w:ind w:firstLine="643" w:firstLineChars="200"/>
        <w:jc w:val="left"/>
        <w:rPr>
          <w:rFonts w:ascii="仿宋_GB2312" w:hAnsi="Calibri" w:eastAsia="仿宋_GB2312" w:cs="宋体"/>
          <w:b/>
          <w:bCs/>
          <w:sz w:val="32"/>
          <w:szCs w:val="32"/>
        </w:rPr>
      </w:pPr>
      <w:r>
        <w:rPr>
          <w:rFonts w:hint="eastAsia" w:ascii="仿宋_GB2312" w:hAnsi="Calibri" w:eastAsia="仿宋_GB2312" w:cs="宋体"/>
          <w:b/>
          <w:bCs/>
          <w:sz w:val="32"/>
          <w:szCs w:val="32"/>
        </w:rPr>
        <w:t xml:space="preserve">3.榜单发布：9月初           </w:t>
      </w:r>
    </w:p>
    <w:p>
      <w:pPr>
        <w:ind w:firstLine="640" w:firstLineChars="200"/>
        <w:jc w:val="lef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第十届中国文化金融创新大会活动现场发布榜单。</w:t>
      </w:r>
    </w:p>
    <w:p>
      <w:pPr>
        <w:numPr>
          <w:ilvl w:val="0"/>
          <w:numId w:val="1"/>
        </w:numPr>
        <w:spacing w:line="520" w:lineRule="exact"/>
        <w:ind w:left="-185" w:leftChars="-88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部分往届榜单名单</w:t>
      </w:r>
    </w:p>
    <w:p>
      <w:pPr>
        <w:spacing w:line="520" w:lineRule="exact"/>
        <w:ind w:firstLine="640" w:firstLineChars="200"/>
        <w:jc w:val="left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>北京大碗娱乐文化传媒有限公司</w:t>
      </w:r>
    </w:p>
    <w:p>
      <w:pPr>
        <w:spacing w:line="520" w:lineRule="exact"/>
        <w:ind w:firstLine="640" w:firstLineChars="200"/>
        <w:jc w:val="left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>北京小诚互娱文化科技有限公司</w:t>
      </w:r>
    </w:p>
    <w:p>
      <w:pPr>
        <w:spacing w:line="520" w:lineRule="exact"/>
        <w:ind w:firstLine="640" w:firstLineChars="200"/>
        <w:jc w:val="left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>北京埃速达文化传播有限公司</w:t>
      </w:r>
    </w:p>
    <w:p>
      <w:pPr>
        <w:spacing w:line="520" w:lineRule="exact"/>
        <w:ind w:firstLine="640" w:firstLineChars="200"/>
        <w:jc w:val="left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>北京结绳文化发展有限公司</w:t>
      </w:r>
    </w:p>
    <w:p>
      <w:pPr>
        <w:spacing w:line="520" w:lineRule="exact"/>
        <w:ind w:firstLine="640" w:firstLineChars="200"/>
        <w:jc w:val="left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>北京成功桥教育科技有限公司</w:t>
      </w:r>
    </w:p>
    <w:p>
      <w:pPr>
        <w:spacing w:line="520" w:lineRule="exact"/>
        <w:ind w:firstLine="640" w:firstLineChars="200"/>
        <w:jc w:val="left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>北京拍片乐科技有限公司</w:t>
      </w:r>
    </w:p>
    <w:p>
      <w:pPr>
        <w:spacing w:line="520" w:lineRule="exact"/>
        <w:ind w:firstLine="640" w:firstLineChars="200"/>
        <w:jc w:val="left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>联想新视界（北京）科技有限公司</w:t>
      </w:r>
    </w:p>
    <w:p>
      <w:pPr>
        <w:spacing w:line="520" w:lineRule="exact"/>
        <w:ind w:firstLine="640" w:firstLineChars="200"/>
        <w:jc w:val="left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>北京亮相文化传媒有限公司</w:t>
      </w:r>
    </w:p>
    <w:p>
      <w:pPr>
        <w:spacing w:line="520" w:lineRule="exact"/>
        <w:ind w:firstLine="640" w:firstLineChars="200"/>
        <w:jc w:val="left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>北京大米科技有限公司</w:t>
      </w:r>
    </w:p>
    <w:p>
      <w:pPr>
        <w:spacing w:line="520" w:lineRule="exact"/>
        <w:ind w:firstLine="640" w:firstLineChars="200"/>
        <w:jc w:val="left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>迈吉客科技（北京）有限公司</w:t>
      </w:r>
    </w:p>
    <w:p>
      <w:pPr>
        <w:spacing w:line="520" w:lineRule="exact"/>
        <w:ind w:firstLine="640" w:firstLineChars="200"/>
        <w:jc w:val="left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>北京卡路里科技有限公司</w:t>
      </w:r>
    </w:p>
    <w:p>
      <w:pPr>
        <w:spacing w:line="520" w:lineRule="exact"/>
        <w:ind w:firstLine="640" w:firstLineChars="200"/>
        <w:jc w:val="left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>中广树德国际文化传媒有限公司</w:t>
      </w:r>
    </w:p>
    <w:p>
      <w:pPr>
        <w:spacing w:line="520" w:lineRule="exact"/>
        <w:ind w:firstLine="640" w:firstLineChars="200"/>
        <w:jc w:val="left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>华夏视听环球传媒（北京）股份有限公司</w:t>
      </w:r>
    </w:p>
    <w:p>
      <w:pPr>
        <w:spacing w:line="520" w:lineRule="exact"/>
        <w:ind w:firstLine="640" w:firstLineChars="200"/>
        <w:jc w:val="left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>北京鹤眸创意镜业有限公司</w:t>
      </w:r>
    </w:p>
    <w:p>
      <w:pPr>
        <w:spacing w:line="520" w:lineRule="exact"/>
        <w:ind w:firstLine="640" w:firstLineChars="200"/>
        <w:jc w:val="left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>北京四达时代软件技术股份有限公司</w:t>
      </w:r>
    </w:p>
    <w:p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北京市最具投资价值文化创意企业信息征集表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360" w:lineRule="exact"/>
        <w:jc w:val="left"/>
        <w:rPr>
          <w:rFonts w:cs="微软雅黑" w:asciiTheme="minorEastAsia" w:hAnsiTheme="minorEastAsia"/>
          <w:b/>
          <w:color w:val="C00000"/>
          <w:sz w:val="20"/>
          <w:szCs w:val="18"/>
        </w:rPr>
      </w:pPr>
      <w:r>
        <w:rPr>
          <w:rFonts w:hint="eastAsia" w:cs="微软雅黑" w:asciiTheme="minorEastAsia" w:hAnsiTheme="minorEastAsia"/>
          <w:b/>
          <w:color w:val="C00000"/>
          <w:sz w:val="20"/>
          <w:szCs w:val="18"/>
        </w:rPr>
        <w:t>参选指南：</w:t>
      </w:r>
    </w:p>
    <w:p>
      <w:pPr>
        <w:numPr>
          <w:ilvl w:val="0"/>
          <w:numId w:val="2"/>
        </w:numPr>
        <w:spacing w:line="360" w:lineRule="exact"/>
        <w:jc w:val="left"/>
        <w:rPr>
          <w:rFonts w:cs="微软雅黑" w:asciiTheme="minorEastAsia" w:hAnsiTheme="minorEastAsia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微软雅黑" w:asciiTheme="minorEastAsia" w:hAnsiTheme="minorEastAsia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参选资格：</w:t>
      </w:r>
      <w:r>
        <w:rPr>
          <w:rFonts w:hint="eastAsia" w:cs="微软雅黑" w:asciiTheme="minorEastAsia" w:hAnsiTheme="minorEastAsia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属于文化产业 /必须为未上市企业 /企业运营主体注册在北京地区 /具有投资潜质的高成长企业</w:t>
      </w:r>
    </w:p>
    <w:p>
      <w:pPr>
        <w:numPr>
          <w:ilvl w:val="0"/>
          <w:numId w:val="2"/>
        </w:numPr>
        <w:spacing w:line="360" w:lineRule="exact"/>
        <w:jc w:val="left"/>
        <w:rPr>
          <w:rFonts w:cs="微软雅黑" w:asciiTheme="minorEastAsia" w:hAnsiTheme="minorEastAsia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微软雅黑" w:asciiTheme="minorEastAsia" w:hAnsiTheme="minorEastAsia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评选指标：</w:t>
      </w:r>
      <w:r>
        <w:rPr>
          <w:rFonts w:hint="eastAsia" w:cs="微软雅黑" w:asciiTheme="minorEastAsia" w:hAnsiTheme="minorEastAsia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所处细分行业的发展前景 /商业模式的有效性 /公司业务与核心竞争力 /创新型企业的市场开拓能力</w:t>
      </w:r>
    </w:p>
    <w:p>
      <w:pPr>
        <w:spacing w:line="360" w:lineRule="exact"/>
        <w:ind w:firstLine="400" w:firstLineChars="200"/>
        <w:jc w:val="left"/>
        <w:rPr>
          <w:rFonts w:cs="微软雅黑" w:asciiTheme="minorEastAsia" w:hAnsiTheme="minorEastAsia" w:eastAsiaTheme="minorEastAsia"/>
          <w:sz w:val="20"/>
          <w:szCs w:val="18"/>
        </w:rPr>
      </w:pPr>
      <w:r>
        <w:rPr>
          <w:rFonts w:hint="eastAsia" w:cs="微软雅黑" w:asciiTheme="minorEastAsia" w:hAnsiTheme="minorEastAsia"/>
          <w:sz w:val="20"/>
          <w:szCs w:val="18"/>
        </w:rPr>
        <w:t>评委将根据表格信息内容给予综合评分，请填写完整并保证资料的真实性。</w:t>
      </w:r>
    </w:p>
    <w:p>
      <w:pPr>
        <w:spacing w:line="360" w:lineRule="exact"/>
        <w:ind w:firstLine="883" w:firstLineChars="200"/>
        <w:jc w:val="left"/>
        <w:rPr>
          <w:rFonts w:asciiTheme="minorEastAsia" w:hAnsiTheme="minorEastAsia"/>
          <w:b/>
          <w:bCs/>
          <w:kern w:val="44"/>
          <w:sz w:val="44"/>
          <w:szCs w:val="44"/>
        </w:rPr>
      </w:pPr>
    </w:p>
    <w:tbl>
      <w:tblPr>
        <w:tblStyle w:val="4"/>
        <w:tblpPr w:leftFromText="180" w:rightFromText="180" w:vertAnchor="text" w:tblpX="-289" w:tblpY="1"/>
        <w:tblOverlap w:val="never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40"/>
        <w:gridCol w:w="553"/>
        <w:gridCol w:w="1394"/>
        <w:gridCol w:w="29"/>
        <w:gridCol w:w="22"/>
        <w:gridCol w:w="1792"/>
        <w:gridCol w:w="54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参选榜单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C00000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C00000"/>
                <w:szCs w:val="21"/>
              </w:rPr>
              <w:sym w:font="Wingdings 2" w:char="F030"/>
            </w:r>
            <w:r>
              <w:rPr>
                <w:rFonts w:asciiTheme="minorEastAsia" w:hAnsiTheme="minorEastAsia"/>
                <w:b/>
                <w:color w:val="C0000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color w:val="C00000"/>
                <w:szCs w:val="21"/>
              </w:rPr>
              <w:t xml:space="preserve"> 未来之星3</w:t>
            </w:r>
            <w:r>
              <w:rPr>
                <w:rFonts w:asciiTheme="minorEastAsia" w:hAnsiTheme="minorEastAsia"/>
                <w:b/>
                <w:color w:val="C00000"/>
                <w:szCs w:val="21"/>
              </w:rPr>
              <w:t>0</w:t>
            </w:r>
            <w:r>
              <w:rPr>
                <w:rFonts w:hint="eastAsia" w:asciiTheme="minorEastAsia" w:hAnsiTheme="minorEastAsia"/>
                <w:b/>
                <w:color w:val="C00000"/>
                <w:szCs w:val="21"/>
              </w:rPr>
              <w:t>强</w:t>
            </w:r>
          </w:p>
          <w:p>
            <w:pPr>
              <w:spacing w:line="276" w:lineRule="auto"/>
              <w:rPr>
                <w:rFonts w:asciiTheme="minorEastAsia" w:hAnsiTheme="minorEastAsia"/>
                <w:b/>
                <w:color w:val="C00000"/>
                <w:szCs w:val="21"/>
              </w:rPr>
            </w:pPr>
            <w:r>
              <w:rPr>
                <w:rFonts w:hint="eastAsia" w:asciiTheme="minorEastAsia" w:hAnsiTheme="minorEastAsia"/>
                <w:sz w:val="22"/>
              </w:rPr>
              <w:t>最具成长性的中小微企业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b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C00000"/>
                <w:szCs w:val="21"/>
              </w:rPr>
              <w:sym w:font="Wingdings 2" w:char="F030"/>
            </w:r>
            <w:r>
              <w:rPr>
                <w:rFonts w:asciiTheme="minorEastAsia" w:hAnsiTheme="minorEastAsia"/>
                <w:b/>
                <w:color w:val="C00000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color w:val="C00000"/>
                <w:szCs w:val="21"/>
              </w:rPr>
              <w:t>风云榜2</w:t>
            </w:r>
            <w:r>
              <w:rPr>
                <w:rFonts w:asciiTheme="minorEastAsia" w:hAnsiTheme="minorEastAsia"/>
                <w:b/>
                <w:color w:val="C00000"/>
                <w:szCs w:val="21"/>
              </w:rPr>
              <w:t>0</w:t>
            </w:r>
            <w:r>
              <w:rPr>
                <w:rFonts w:hint="eastAsia" w:asciiTheme="minorEastAsia" w:hAnsiTheme="minorEastAsia"/>
                <w:b/>
                <w:color w:val="C00000"/>
                <w:szCs w:val="21"/>
              </w:rPr>
              <w:t>强</w:t>
            </w:r>
          </w:p>
          <w:p>
            <w:pPr>
              <w:spacing w:line="276" w:lineRule="auto"/>
              <w:rPr>
                <w:rFonts w:cs="微软雅黑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有上市前景、且有意走向Pre-IPO的优秀企业（含新三板挂牌）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基本信息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公司全称</w:t>
            </w:r>
          </w:p>
        </w:tc>
        <w:tc>
          <w:tcPr>
            <w:tcW w:w="1976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szCs w:val="21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公司</w:t>
            </w:r>
            <w:r>
              <w:rPr>
                <w:rFonts w:cs="微软雅黑" w:asciiTheme="minorEastAsia" w:hAnsiTheme="minorEastAsia"/>
                <w:b/>
                <w:szCs w:val="21"/>
              </w:rPr>
              <w:t>简称</w:t>
            </w:r>
          </w:p>
        </w:tc>
        <w:tc>
          <w:tcPr>
            <w:tcW w:w="2858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一句话介绍</w:t>
            </w: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44964D" w:themeColor="background1" w:themeShade="80"/>
                <w:szCs w:val="21"/>
              </w:rPr>
              <w:t>（含标点符号</w:t>
            </w:r>
            <w:r>
              <w:rPr>
                <w:rFonts w:asciiTheme="minorEastAsia" w:hAnsiTheme="minorEastAsia"/>
                <w:color w:val="44964D" w:themeColor="background1" w:themeShade="80"/>
                <w:szCs w:val="21"/>
              </w:rPr>
              <w:t>20字以内</w:t>
            </w:r>
            <w:r>
              <w:rPr>
                <w:rFonts w:hint="eastAsia" w:asciiTheme="minorEastAsia" w:hAnsiTheme="minorEastAsia"/>
                <w:color w:val="44964D" w:themeColor="background1" w:themeShade="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szCs w:val="21"/>
              </w:rPr>
            </w:pPr>
          </w:p>
        </w:tc>
        <w:tc>
          <w:tcPr>
            <w:tcW w:w="8788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公司介绍：</w:t>
            </w:r>
            <w:r>
              <w:rPr>
                <w:rFonts w:hint="eastAsia" w:cs="微软雅黑" w:asciiTheme="minorEastAsia" w:hAnsiTheme="minorEastAsia"/>
                <w:color w:val="44964D" w:themeColor="background1" w:themeShade="80"/>
                <w:szCs w:val="21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bCs/>
                <w:szCs w:val="21"/>
              </w:rPr>
              <w:t>成立时间</w:t>
            </w:r>
          </w:p>
        </w:tc>
        <w:tc>
          <w:tcPr>
            <w:tcW w:w="4087" w:type="dxa"/>
            <w:gridSpan w:val="3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cs="微软雅黑"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ind w:left="34" w:hanging="34" w:hangingChars="16"/>
              <w:jc w:val="center"/>
              <w:rPr>
                <w:rFonts w:cs="微软雅黑" w:asciiTheme="minorEastAsia" w:hAnsiTheme="minorEastAsia"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注册资本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cs="微软雅黑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bCs/>
                <w:szCs w:val="21"/>
              </w:rPr>
              <w:t>所属</w:t>
            </w:r>
            <w:r>
              <w:rPr>
                <w:rFonts w:cs="微软雅黑" w:asciiTheme="minorEastAsia" w:hAnsiTheme="minorEastAsia"/>
                <w:b/>
                <w:bCs/>
                <w:szCs w:val="21"/>
              </w:rPr>
              <w:t>行业</w:t>
            </w:r>
          </w:p>
        </w:tc>
        <w:tc>
          <w:tcPr>
            <w:tcW w:w="4087" w:type="dxa"/>
            <w:gridSpan w:val="3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cs="微软雅黑"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ind w:left="34" w:hanging="34" w:hangingChars="16"/>
              <w:jc w:val="center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细分</w:t>
            </w:r>
            <w:r>
              <w:rPr>
                <w:rFonts w:cs="微软雅黑" w:asciiTheme="minorEastAsia" w:hAnsiTheme="minorEastAsia"/>
                <w:b/>
                <w:szCs w:val="21"/>
              </w:rPr>
              <w:t>领域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cs="微软雅黑" w:asciiTheme="minorEastAsia" w:hAnsiTheme="minorEastAsia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44964D" w:themeColor="background1" w:themeShade="80"/>
                <w:szCs w:val="21"/>
              </w:rPr>
              <w:t>（可写3个）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融资经历</w:t>
            </w:r>
          </w:p>
        </w:tc>
        <w:tc>
          <w:tcPr>
            <w:tcW w:w="4087" w:type="dxa"/>
            <w:gridSpan w:val="3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sym w:font="Wingdings 2" w:char="F030"/>
            </w:r>
            <w:r>
              <w:rPr>
                <w:rFonts w:hint="eastAsia" w:cs="微软雅黑" w:asciiTheme="minorEastAsia" w:hAnsiTheme="minorEastAsia"/>
                <w:bCs/>
                <w:szCs w:val="21"/>
              </w:rPr>
              <w:t>有</w:t>
            </w:r>
            <w:r>
              <w:rPr>
                <w:rFonts w:hint="eastAsia" w:cs="微软雅黑" w:asciiTheme="minorEastAsia" w:hAnsiTheme="minorEastAsia"/>
                <w:szCs w:val="21"/>
              </w:rPr>
              <w:t xml:space="preserve">   </w:t>
            </w:r>
            <w:r>
              <w:rPr>
                <w:rFonts w:hint="eastAsia" w:cs="微软雅黑" w:asciiTheme="minorEastAsia" w:hAnsiTheme="minorEastAsia"/>
                <w:b/>
                <w:szCs w:val="21"/>
              </w:rPr>
              <w:sym w:font="Wingdings 2" w:char="F030"/>
            </w:r>
            <w:r>
              <w:rPr>
                <w:rFonts w:hint="eastAsia" w:cs="微软雅黑" w:asciiTheme="minorEastAsia" w:hAnsiTheme="minorEastAsia"/>
                <w:szCs w:val="21"/>
              </w:rPr>
              <w:t>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上轮融资轮次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上轮融资时间</w:t>
            </w:r>
          </w:p>
        </w:tc>
        <w:tc>
          <w:tcPr>
            <w:tcW w:w="4087" w:type="dxa"/>
            <w:gridSpan w:val="3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上轮投资机构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color w:val="63B96C" w:themeColor="background1" w:themeShade="A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color w:val="FF0000"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项目/产品介绍</w:t>
            </w:r>
          </w:p>
        </w:tc>
        <w:tc>
          <w:tcPr>
            <w:tcW w:w="878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color w:val="FF000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44964D" w:themeColor="background1" w:themeShade="80"/>
                <w:szCs w:val="21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商业模式</w:t>
            </w:r>
          </w:p>
        </w:tc>
        <w:tc>
          <w:tcPr>
            <w:tcW w:w="8788" w:type="dxa"/>
            <w:gridSpan w:val="8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color w:val="44964D" w:themeColor="background1" w:themeShade="8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44964D" w:themeColor="background1" w:themeShade="80"/>
                <w:szCs w:val="21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业务现状</w:t>
            </w:r>
          </w:p>
        </w:tc>
        <w:tc>
          <w:tcPr>
            <w:tcW w:w="8788" w:type="dxa"/>
            <w:gridSpan w:val="8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color w:val="44964D" w:themeColor="background1" w:themeShade="8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44964D" w:themeColor="background1" w:themeShade="80"/>
                <w:szCs w:val="21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竞争优势</w:t>
            </w:r>
          </w:p>
        </w:tc>
        <w:tc>
          <w:tcPr>
            <w:tcW w:w="8788" w:type="dxa"/>
            <w:gridSpan w:val="8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color w:val="44964D" w:themeColor="background1" w:themeShade="8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44964D" w:themeColor="background1" w:themeShade="80"/>
                <w:szCs w:val="21"/>
              </w:rPr>
              <w:t>特色优势/所获专利/取得奖项（500字以内）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市场潜力</w:t>
            </w:r>
          </w:p>
        </w:tc>
        <w:tc>
          <w:tcPr>
            <w:tcW w:w="8788" w:type="dxa"/>
            <w:gridSpan w:val="8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color w:val="44964D" w:themeColor="background1" w:themeShade="80"/>
                <w:szCs w:val="21"/>
              </w:rPr>
            </w:pPr>
            <w:r>
              <w:rPr>
                <w:rFonts w:hint="eastAsia" w:cs="微软雅黑" w:asciiTheme="minorEastAsia" w:hAnsiTheme="minorEastAsia"/>
                <w:color w:val="44964D" w:themeColor="background1" w:themeShade="80"/>
                <w:szCs w:val="21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参选联系人</w:t>
            </w:r>
          </w:p>
        </w:tc>
        <w:tc>
          <w:tcPr>
            <w:tcW w:w="4138" w:type="dxa"/>
            <w:gridSpan w:val="5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b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职位</w:t>
            </w:r>
          </w:p>
        </w:tc>
        <w:tc>
          <w:tcPr>
            <w:tcW w:w="2804" w:type="dxa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手机号码／微信</w:t>
            </w:r>
          </w:p>
        </w:tc>
        <w:tc>
          <w:tcPr>
            <w:tcW w:w="4138" w:type="dxa"/>
            <w:gridSpan w:val="5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b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邮箱</w:t>
            </w:r>
          </w:p>
        </w:tc>
        <w:tc>
          <w:tcPr>
            <w:tcW w:w="2804" w:type="dxa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szCs w:val="21"/>
              </w:rPr>
              <w:t>L</w:t>
            </w:r>
            <w:r>
              <w:rPr>
                <w:rFonts w:cs="微软雅黑" w:asciiTheme="minorEastAsia" w:hAnsiTheme="minorEastAsia"/>
                <w:b/>
                <w:szCs w:val="21"/>
              </w:rPr>
              <w:t>ogo</w:t>
            </w:r>
            <w:r>
              <w:rPr>
                <w:rFonts w:hint="eastAsia" w:cs="微软雅黑" w:asciiTheme="minorEastAsia" w:hAnsiTheme="minorEastAsia"/>
                <w:b/>
                <w:szCs w:val="21"/>
              </w:rPr>
              <w:t>和项目计划书</w:t>
            </w:r>
          </w:p>
        </w:tc>
        <w:tc>
          <w:tcPr>
            <w:tcW w:w="8788" w:type="dxa"/>
            <w:gridSpan w:val="8"/>
            <w:vAlign w:val="center"/>
          </w:tcPr>
          <w:p>
            <w:pPr>
              <w:spacing w:line="276" w:lineRule="auto"/>
              <w:rPr>
                <w:rFonts w:cs="微软雅黑" w:asciiTheme="minorEastAsia" w:hAnsiTheme="minorEastAsia"/>
                <w:b/>
                <w:szCs w:val="21"/>
              </w:rPr>
            </w:pPr>
            <w:r>
              <w:rPr>
                <w:rFonts w:hint="eastAsia" w:cs="微软雅黑" w:asciiTheme="minorEastAsia" w:hAnsiTheme="minorEastAsia"/>
                <w:b/>
                <w:color w:val="FF0000"/>
                <w:szCs w:val="21"/>
              </w:rPr>
              <w:t>*企业须提供</w:t>
            </w:r>
            <w:r>
              <w:rPr>
                <w:rFonts w:cs="微软雅黑" w:asciiTheme="minorEastAsia" w:hAnsiTheme="minorEastAsia"/>
                <w:b/>
                <w:color w:val="FF0000"/>
                <w:szCs w:val="21"/>
              </w:rPr>
              <w:t>logo</w:t>
            </w:r>
            <w:r>
              <w:rPr>
                <w:rFonts w:hint="eastAsia" w:cs="微软雅黑" w:asciiTheme="minorEastAsia" w:hAnsiTheme="minorEastAsia"/>
                <w:b/>
                <w:color w:val="FF0000"/>
                <w:szCs w:val="21"/>
              </w:rPr>
              <w:t>（AI格式）</w:t>
            </w:r>
            <w:r>
              <w:rPr>
                <w:rFonts w:cs="微软雅黑" w:asciiTheme="minorEastAsia" w:hAnsiTheme="minorEastAsia"/>
                <w:b/>
                <w:color w:val="FF0000"/>
                <w:szCs w:val="21"/>
              </w:rPr>
              <w:t>和</w:t>
            </w:r>
            <w:r>
              <w:rPr>
                <w:rFonts w:hint="eastAsia" w:cs="微软雅黑" w:asciiTheme="minorEastAsia" w:hAnsiTheme="minorEastAsia"/>
                <w:b/>
                <w:color w:val="FF0000"/>
                <w:szCs w:val="21"/>
              </w:rPr>
              <w:t>项目计划书</w:t>
            </w:r>
          </w:p>
        </w:tc>
      </w:tr>
    </w:tbl>
    <w:p>
      <w:pPr>
        <w:rPr>
          <w:rFonts w:cs="微软雅黑" w:asciiTheme="minorEastAsia" w:hAnsiTheme="minorEastAsia"/>
          <w:sz w:val="18"/>
          <w:szCs w:val="18"/>
        </w:rPr>
      </w:pPr>
    </w:p>
    <w:p>
      <w:pPr>
        <w:spacing w:line="520" w:lineRule="exact"/>
        <w:jc w:val="left"/>
        <w:rPr>
          <w:rFonts w:cs="微软雅黑"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sz w:val="32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清刻本悦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D2A41"/>
    <w:multiLevelType w:val="singleLevel"/>
    <w:tmpl w:val="90ED2A4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b/>
        <w:bCs/>
      </w:rPr>
    </w:lvl>
  </w:abstractNum>
  <w:abstractNum w:abstractNumId="1">
    <w:nsid w:val="4A20FBA8"/>
    <w:multiLevelType w:val="singleLevel"/>
    <w:tmpl w:val="4A20FBA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D128B"/>
    <w:rsid w:val="00027DC8"/>
    <w:rsid w:val="004E7CF7"/>
    <w:rsid w:val="00897C44"/>
    <w:rsid w:val="074D128B"/>
    <w:rsid w:val="077C39D7"/>
    <w:rsid w:val="1F457DEB"/>
    <w:rsid w:val="31B91C02"/>
    <w:rsid w:val="3725519F"/>
    <w:rsid w:val="45C3003B"/>
    <w:rsid w:val="464A2B52"/>
    <w:rsid w:val="4D852980"/>
    <w:rsid w:val="4FA407B4"/>
    <w:rsid w:val="52D92E01"/>
    <w:rsid w:val="535258D8"/>
    <w:rsid w:val="58A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375</Words>
  <Characters>2141</Characters>
  <Lines>17</Lines>
  <Paragraphs>5</Paragraphs>
  <TotalTime>4</TotalTime>
  <ScaleCrop>false</ScaleCrop>
  <LinksUpToDate>false</LinksUpToDate>
  <CharactersWithSpaces>2511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2021-07-16T03:09:00Z</dcterms:created>
  <dc:creator>XMB04</dc:creator>
  <cp:lastModifiedBy>wxy</cp:lastModifiedBy>
  <cp:lastPrinted>2021-07-20T07:09:00Z</cp:lastPrinted>
  <dcterms:modified xsi:type="dcterms:W3CDTF">2021-07-26T02:06:47Z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DD8766B25DBF40F59A56D2F916FDC7CD</vt:lpwstr>
  </property>
</Properties>
</file>