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2020年</w:t>
      </w:r>
      <w:r>
        <w:rPr>
          <w:rFonts w:ascii="方正小标宋_GBK" w:eastAsia="方正小标宋_GBK"/>
          <w:sz w:val="44"/>
          <w:szCs w:val="44"/>
        </w:rPr>
        <w:t>拟纳入中关村示范区高精尖产业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/>
          <w:sz w:val="44"/>
          <w:szCs w:val="44"/>
        </w:rPr>
        <w:t>协同创新平台体系名单</w:t>
      </w:r>
    </w:p>
    <w:tbl>
      <w:tblPr>
        <w:tblStyle w:val="4"/>
        <w:tblW w:w="96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5291"/>
        <w:gridCol w:w="3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Header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平台建设单位名称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新一代人工智能底层开源深度学习平台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北京百度网讯科技有限公司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计算机视觉开源开放协同创新平台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北京旷视科技有限公司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智慧医院协同创新平台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东华医为科技有限公司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人工智能产业应用协同创新平台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中关村智用人工智能研究院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AI标准评测和数据分享平台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北京中关村软件园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工业集成电路协同创新平台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中关村芯海择优科技有限公司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国产高性能CPU创新中心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龙芯中科技术有限公司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集成电路设计服务及电子设计自动化（EDA）创新应用平台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北京华大九天软件有限公司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先进集成电路IP大数据平台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北京芯愿景软件技术股份有限公司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大分子抗体药物中试公共服务平台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华辉安健（北京）生物科技有限公司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模式大动物开发与转化应用协同创新平台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北京希诺谷生物科技有限公司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医疗机器人CDMO 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北京水木东方医用机器人技术创新中心有限公司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基于人工智能、量子物理学模型和云端超算的药物创新转化平台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北京晶派科技有限公司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基于体内外桥接技术的医药研发协同创新平台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北京新领先医药科技发展有限公司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05390"/>
    <w:rsid w:val="07DB42ED"/>
    <w:rsid w:val="0CFD4C21"/>
    <w:rsid w:val="12705390"/>
    <w:rsid w:val="133A2651"/>
    <w:rsid w:val="25495C91"/>
    <w:rsid w:val="27622CA4"/>
    <w:rsid w:val="2ADE1C47"/>
    <w:rsid w:val="3E39208B"/>
    <w:rsid w:val="3F1F6249"/>
    <w:rsid w:val="43467919"/>
    <w:rsid w:val="44874696"/>
    <w:rsid w:val="530B657E"/>
    <w:rsid w:val="590470C3"/>
    <w:rsid w:val="61F01C6D"/>
    <w:rsid w:val="6703668C"/>
    <w:rsid w:val="6D4A161B"/>
    <w:rsid w:val="6FB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2020-11-17T01:17:00Z</dcterms:created>
  <dc:creator>CTEX</dc:creator>
  <cp:lastModifiedBy>flycat</cp:lastModifiedBy>
  <cp:lastPrinted>2020-11-26T08:05:44Z</cp:lastPrinted>
  <dcterms:modified xsi:type="dcterms:W3CDTF">2020-11-26T08:13:48Z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